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63F" w:rsidRPr="00D26E18" w:rsidRDefault="0075363F" w:rsidP="0006459D">
      <w:pPr>
        <w:bidi w:val="0"/>
        <w:jc w:val="center"/>
        <w:rPr>
          <w:rFonts w:ascii="Verdana" w:hAnsi="Verdana"/>
          <w:lang w:bidi="ar-EG"/>
        </w:rPr>
      </w:pPr>
      <w:bookmarkStart w:id="0" w:name="_GoBack"/>
      <w:bookmarkEnd w:id="0"/>
      <w:r w:rsidRPr="00D26E18">
        <w:rPr>
          <w:rFonts w:ascii="Verdana" w:hAnsi="Verdana"/>
          <w:lang w:bidi="ar-EG"/>
        </w:rPr>
        <w:t>Curriculum Vitae</w:t>
      </w:r>
    </w:p>
    <w:p w:rsidR="0006459D" w:rsidRPr="00D26E18" w:rsidRDefault="0006459D" w:rsidP="0006459D">
      <w:pPr>
        <w:bidi w:val="0"/>
        <w:jc w:val="center"/>
        <w:rPr>
          <w:rFonts w:ascii="Verdana" w:hAnsi="Verdana"/>
          <w:lang w:bidi="ar-EG"/>
        </w:rPr>
      </w:pPr>
    </w:p>
    <w:p w:rsidR="00C920EE" w:rsidRPr="00D26E18" w:rsidRDefault="00C920EE" w:rsidP="00C920EE">
      <w:pPr>
        <w:bidi w:val="0"/>
        <w:jc w:val="center"/>
        <w:rPr>
          <w:rFonts w:ascii="Verdana" w:hAnsi="Verdana"/>
          <w:lang w:bidi="ar-EG"/>
        </w:rPr>
      </w:pPr>
    </w:p>
    <w:tbl>
      <w:tblPr>
        <w:tblStyle w:val="TableGrid"/>
        <w:tblW w:w="9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964"/>
      </w:tblGrid>
      <w:tr w:rsidR="0006459D" w:rsidRPr="00D26E18">
        <w:tc>
          <w:tcPr>
            <w:tcW w:w="1728" w:type="dxa"/>
          </w:tcPr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7964" w:type="dxa"/>
          </w:tcPr>
          <w:p w:rsidR="0006459D" w:rsidRPr="00D26E18" w:rsidRDefault="0006459D" w:rsidP="0006459D">
            <w:pPr>
              <w:tabs>
                <w:tab w:val="left" w:pos="317"/>
              </w:tabs>
              <w:bidi w:val="0"/>
              <w:rPr>
                <w:rFonts w:ascii="Arial" w:eastAsia="Times New Roman" w:hAnsi="Arial" w:cs="Traditional Arabic"/>
                <w:b/>
                <w:bCs/>
                <w:spacing w:val="-5"/>
                <w:sz w:val="24"/>
                <w:szCs w:val="24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4"/>
                <w:szCs w:val="24"/>
                <w:lang w:eastAsia="en-US"/>
              </w:rPr>
              <w:t>Zeinab Abdel Latif El Gholmy</w:t>
            </w:r>
          </w:p>
          <w:p w:rsidR="00C920EE" w:rsidRPr="00D26E18" w:rsidRDefault="00C920EE" w:rsidP="00C920EE">
            <w:pPr>
              <w:tabs>
                <w:tab w:val="left" w:pos="317"/>
              </w:tabs>
              <w:bidi w:val="0"/>
              <w:rPr>
                <w:rFonts w:ascii="Arial" w:eastAsia="Times New Roman" w:hAnsi="Arial" w:cs="Traditional Arabic"/>
                <w:b/>
                <w:bCs/>
                <w:spacing w:val="-5"/>
                <w:sz w:val="24"/>
                <w:szCs w:val="24"/>
                <w:lang w:eastAsia="en-US"/>
              </w:rPr>
            </w:pPr>
          </w:p>
        </w:tc>
      </w:tr>
      <w:tr w:rsidR="0006459D" w:rsidRPr="00D26E18">
        <w:tc>
          <w:tcPr>
            <w:tcW w:w="1728" w:type="dxa"/>
          </w:tcPr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  <w:t>Date of Birth</w:t>
            </w:r>
          </w:p>
        </w:tc>
        <w:tc>
          <w:tcPr>
            <w:tcW w:w="7964" w:type="dxa"/>
          </w:tcPr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October  20th 1943</w:t>
            </w:r>
          </w:p>
          <w:p w:rsidR="00C920EE" w:rsidRPr="00D26E18" w:rsidRDefault="00C920EE" w:rsidP="00C920EE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</w:p>
        </w:tc>
      </w:tr>
      <w:tr w:rsidR="0006459D" w:rsidRPr="00D26E18">
        <w:tc>
          <w:tcPr>
            <w:tcW w:w="1728" w:type="dxa"/>
          </w:tcPr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  <w:t>Nationality:</w:t>
            </w:r>
          </w:p>
        </w:tc>
        <w:tc>
          <w:tcPr>
            <w:tcW w:w="7964" w:type="dxa"/>
          </w:tcPr>
          <w:p w:rsidR="0006459D" w:rsidRPr="00D26E18" w:rsidRDefault="0006459D" w:rsidP="0006459D">
            <w:pPr>
              <w:tabs>
                <w:tab w:val="left" w:pos="304"/>
              </w:tabs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Egyptian</w:t>
            </w:r>
          </w:p>
          <w:p w:rsidR="00C920EE" w:rsidRPr="00D26E18" w:rsidRDefault="00C920EE" w:rsidP="00C920EE">
            <w:pPr>
              <w:tabs>
                <w:tab w:val="left" w:pos="304"/>
              </w:tabs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</w:p>
        </w:tc>
      </w:tr>
      <w:tr w:rsidR="0006459D" w:rsidRPr="00D26E18">
        <w:tc>
          <w:tcPr>
            <w:tcW w:w="1728" w:type="dxa"/>
          </w:tcPr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  <w:t>Present title:</w:t>
            </w:r>
          </w:p>
        </w:tc>
        <w:tc>
          <w:tcPr>
            <w:tcW w:w="7964" w:type="dxa"/>
          </w:tcPr>
          <w:p w:rsidR="0006459D" w:rsidRPr="00D26E18" w:rsidRDefault="0006459D" w:rsidP="0006459D">
            <w:pPr>
              <w:tabs>
                <w:tab w:val="left" w:pos="370"/>
              </w:tabs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Emeritus Professor of Pharmaceutics,  2004 and onwards</w:t>
            </w:r>
          </w:p>
          <w:p w:rsidR="00C920EE" w:rsidRPr="00D26E18" w:rsidRDefault="00C920EE" w:rsidP="00C920EE">
            <w:pPr>
              <w:tabs>
                <w:tab w:val="left" w:pos="370"/>
              </w:tabs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</w:p>
        </w:tc>
      </w:tr>
      <w:tr w:rsidR="0006459D" w:rsidRPr="00D26E18">
        <w:tc>
          <w:tcPr>
            <w:tcW w:w="1728" w:type="dxa"/>
          </w:tcPr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  <w:t>Address:</w:t>
            </w:r>
          </w:p>
        </w:tc>
        <w:tc>
          <w:tcPr>
            <w:tcW w:w="7964" w:type="dxa"/>
          </w:tcPr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Department of Pharmaceutics, Faculty of Pharmacy, University of Alexandria, Egypt</w:t>
            </w:r>
          </w:p>
          <w:p w:rsidR="00C920EE" w:rsidRPr="00D26E18" w:rsidRDefault="00C920EE" w:rsidP="00C920EE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</w:p>
        </w:tc>
      </w:tr>
      <w:tr w:rsidR="0006459D" w:rsidRPr="00D26E18">
        <w:tc>
          <w:tcPr>
            <w:tcW w:w="1728" w:type="dxa"/>
          </w:tcPr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  <w:t>E mail</w:t>
            </w:r>
          </w:p>
        </w:tc>
        <w:tc>
          <w:tcPr>
            <w:tcW w:w="7964" w:type="dxa"/>
          </w:tcPr>
          <w:p w:rsidR="0006459D" w:rsidRPr="00D26E18" w:rsidRDefault="001F793F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hyperlink r:id="rId5" w:history="1">
              <w:r w:rsidR="00C920EE" w:rsidRPr="00D26E18">
                <w:rPr>
                  <w:rStyle w:val="Hyperlink"/>
                  <w:rFonts w:ascii="Arial" w:eastAsia="Times New Roman" w:hAnsi="Arial" w:cs="Traditional Arabic"/>
                  <w:color w:val="auto"/>
                  <w:spacing w:val="-5"/>
                  <w:sz w:val="20"/>
                  <w:szCs w:val="20"/>
                  <w:lang w:eastAsia="en-US"/>
                </w:rPr>
                <w:t>zeinabelgholmy@hotmail.com</w:t>
              </w:r>
            </w:hyperlink>
          </w:p>
          <w:p w:rsidR="00C920EE" w:rsidRPr="00D26E18" w:rsidRDefault="00C920EE" w:rsidP="00C920EE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</w:p>
        </w:tc>
      </w:tr>
      <w:tr w:rsidR="0006459D" w:rsidRPr="00D26E18">
        <w:tc>
          <w:tcPr>
            <w:tcW w:w="1728" w:type="dxa"/>
          </w:tcPr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  <w:t>Qualifications</w:t>
            </w:r>
          </w:p>
        </w:tc>
        <w:tc>
          <w:tcPr>
            <w:tcW w:w="7964" w:type="dxa"/>
          </w:tcPr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B.Pharm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., Distinction with honour,1965 (University of Alexandria)</w:t>
            </w:r>
          </w:p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Diploma of Industrial Pharmacy    1966</w:t>
            </w:r>
          </w:p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Diploma of hospital Pharmacy      1967</w:t>
            </w:r>
          </w:p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PhD in Pharmaceutics                   1972, University of Alexandria.</w:t>
            </w:r>
          </w:p>
          <w:p w:rsidR="00C920EE" w:rsidRPr="00D26E18" w:rsidRDefault="00C920EE" w:rsidP="00C920EE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</w:p>
        </w:tc>
      </w:tr>
      <w:tr w:rsidR="0006459D" w:rsidRPr="00D26E18">
        <w:tc>
          <w:tcPr>
            <w:tcW w:w="1728" w:type="dxa"/>
          </w:tcPr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  <w:t>Career</w:t>
            </w:r>
          </w:p>
        </w:tc>
        <w:tc>
          <w:tcPr>
            <w:tcW w:w="7964" w:type="dxa"/>
          </w:tcPr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Demonstrator, Department of Pharmaceutics, Faculty of Pharmacy, University of Alexandria,1965-1972.</w:t>
            </w:r>
          </w:p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</w:p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Lecturer, Department of Pharmaceutics, Faculty of Pharmacy, University of Alexandria, 1972-1979</w:t>
            </w:r>
          </w:p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</w:p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Associate Professor, Department of Pharmaceutics, Faculty of Pharmacy, University of Alexandria, 1979-1990</w:t>
            </w:r>
          </w:p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8"/>
                <w:szCs w:val="28"/>
                <w:lang w:eastAsia="en-US"/>
              </w:rPr>
            </w:pPr>
          </w:p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Professor of Pharmaceutics, Department of  Pharmaceutics, Faculty of Pharmacy, University of Alexandria, 1990-2003  </w:t>
            </w:r>
          </w:p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8"/>
                <w:szCs w:val="28"/>
                <w:lang w:eastAsia="en-US"/>
              </w:rPr>
            </w:pPr>
          </w:p>
        </w:tc>
      </w:tr>
      <w:tr w:rsidR="0006459D" w:rsidRPr="00D26E18">
        <w:tc>
          <w:tcPr>
            <w:tcW w:w="1728" w:type="dxa"/>
          </w:tcPr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  <w:t>Membership</w:t>
            </w:r>
          </w:p>
        </w:tc>
        <w:tc>
          <w:tcPr>
            <w:tcW w:w="7964" w:type="dxa"/>
          </w:tcPr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Egyptian Pharmaceutical Association</w:t>
            </w:r>
          </w:p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</w:p>
        </w:tc>
      </w:tr>
      <w:tr w:rsidR="0006459D" w:rsidRPr="00D26E18">
        <w:tc>
          <w:tcPr>
            <w:tcW w:w="1728" w:type="dxa"/>
          </w:tcPr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  <w:t>Teaching activities</w:t>
            </w:r>
          </w:p>
        </w:tc>
        <w:tc>
          <w:tcPr>
            <w:tcW w:w="7964" w:type="dxa"/>
          </w:tcPr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Undergraduate Courses of Pharmaceutics</w:t>
            </w:r>
          </w:p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Diploma of Hospital </w:t>
            </w:r>
            <w:r w:rsidR="00E347B1"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and Clinical </w:t>
            </w: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Pharmacy</w:t>
            </w:r>
          </w:p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Special Courses for post graduate students</w:t>
            </w:r>
          </w:p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Short period visiting Professor at the Faculty of Pharmacy, Arab University of Beirut, Lebanon, 1993,1996,2002</w:t>
            </w:r>
          </w:p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</w:p>
        </w:tc>
      </w:tr>
      <w:tr w:rsidR="0006459D" w:rsidRPr="00D26E18">
        <w:tc>
          <w:tcPr>
            <w:tcW w:w="1728" w:type="dxa"/>
          </w:tcPr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  <w:t>Conferences</w:t>
            </w:r>
          </w:p>
        </w:tc>
        <w:tc>
          <w:tcPr>
            <w:tcW w:w="7964" w:type="dxa"/>
          </w:tcPr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Egyptian pharmaceutical society and Pharmaceutical Arab Union in 1972, 1975,1988</w:t>
            </w:r>
          </w:p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</w:p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International Pharmaceutical Federation conference(FIP)1988,1989</w:t>
            </w:r>
          </w:p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</w:p>
        </w:tc>
      </w:tr>
      <w:tr w:rsidR="0006459D" w:rsidRPr="00D26E18">
        <w:tc>
          <w:tcPr>
            <w:tcW w:w="1728" w:type="dxa"/>
          </w:tcPr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  <w:t xml:space="preserve">Supervision         </w:t>
            </w:r>
          </w:p>
        </w:tc>
        <w:tc>
          <w:tcPr>
            <w:tcW w:w="7964" w:type="dxa"/>
          </w:tcPr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a) of theses for attainment of Master degree:</w:t>
            </w:r>
          </w:p>
          <w:p w:rsidR="0006459D" w:rsidRPr="00D26E18" w:rsidRDefault="0006459D" w:rsidP="0006459D">
            <w:pPr>
              <w:numPr>
                <w:ilvl w:val="0"/>
                <w:numId w:val="3"/>
              </w:num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Drug micro encapsulation as an approach in controlled release 1986</w:t>
            </w:r>
          </w:p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</w:p>
          <w:p w:rsidR="0006459D" w:rsidRPr="00D26E18" w:rsidRDefault="0006459D" w:rsidP="0006459D">
            <w:pPr>
              <w:numPr>
                <w:ilvl w:val="0"/>
                <w:numId w:val="3"/>
              </w:num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Formulation of Norfloxacin in different dosage forms 2000.</w:t>
            </w:r>
          </w:p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</w:p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b) of the Students’ summer training.</w:t>
            </w:r>
          </w:p>
          <w:p w:rsidR="0006459D" w:rsidRPr="00D26E18" w:rsidRDefault="0006459D" w:rsidP="0006459D">
            <w:pPr>
              <w:bidi w:val="0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</w:p>
        </w:tc>
      </w:tr>
      <w:tr w:rsidR="0006459D" w:rsidRPr="00D26E18">
        <w:tc>
          <w:tcPr>
            <w:tcW w:w="1728" w:type="dxa"/>
          </w:tcPr>
          <w:p w:rsidR="0006459D" w:rsidRPr="00D26E18" w:rsidRDefault="0006459D" w:rsidP="00876611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  <w:lastRenderedPageBreak/>
              <w:t xml:space="preserve">List of </w:t>
            </w:r>
            <w:r w:rsidR="00876611"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  <w:t xml:space="preserve">Selected </w:t>
            </w:r>
            <w:r w:rsidRPr="00D26E18"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  <w:t>Publications</w:t>
            </w: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  <w:t>List of Publications</w:t>
            </w:r>
          </w:p>
          <w:p w:rsidR="00197B72" w:rsidRPr="00D26E18" w:rsidRDefault="00197B72" w:rsidP="00197B72">
            <w:pPr>
              <w:bidi w:val="0"/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4"/>
                <w:szCs w:val="24"/>
                <w:lang w:eastAsia="en-US"/>
              </w:rPr>
              <w:t>Cont.</w:t>
            </w:r>
          </w:p>
        </w:tc>
        <w:tc>
          <w:tcPr>
            <w:tcW w:w="7964" w:type="dxa"/>
          </w:tcPr>
          <w:p w:rsidR="0006459D" w:rsidRPr="00D26E18" w:rsidRDefault="0006459D" w:rsidP="0006459D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lastRenderedPageBreak/>
              <w:t xml:space="preserve">A note on the preparation of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quillaiate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of choline iodide as a potential muscle relaxant.  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Zeinab A. </w:t>
            </w:r>
            <w:proofErr w:type="spellStart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ElGholmy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, M.M.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Motawi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Y.Hammouda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.  Die Pharmazie,27, 543(1972).</w:t>
            </w:r>
          </w:p>
          <w:p w:rsidR="0006459D" w:rsidRPr="00D26E18" w:rsidRDefault="0006459D" w:rsidP="0006459D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A study of the kinetics of hydrolysis of certain new quaternary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ammoniium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esters of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triterpenic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acids of therapeutic interest.  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Zeinab A. </w:t>
            </w:r>
            <w:proofErr w:type="spellStart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ElGholmy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, M.M.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Motawi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Y.Hammouda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.  Pan Arabian Pharmaceutical Conference, Baghdad (1972)</w:t>
            </w:r>
          </w:p>
          <w:p w:rsidR="0006459D" w:rsidRPr="00D26E18" w:rsidRDefault="0006459D" w:rsidP="0006459D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Relationship of surfactant properties of certain new quaternary ammonium derivatives to their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haemolytic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and antibacterial action.  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Zeinab A. </w:t>
            </w:r>
            <w:proofErr w:type="spellStart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ElGholmy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, M.M.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Motawi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Y.Hammouda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.  Pan Arabian Pharmaceutical Conference, Baghdad (1972)</w:t>
            </w:r>
          </w:p>
          <w:p w:rsidR="0006459D" w:rsidRPr="00D26E18" w:rsidRDefault="0006459D" w:rsidP="0006459D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Quillaiate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 of</w:t>
            </w:r>
            <w:proofErr w:type="gram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choline iodide: A new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monoquaternary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neuromuscular blocking agent. M. I. Hamed and 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Zeinab A. El Gholmy</w:t>
            </w: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Arzneim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Forsch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. (Drug Res.) 22,2133 (1972).</w:t>
            </w:r>
          </w:p>
          <w:p w:rsidR="0006459D" w:rsidRPr="00D26E18" w:rsidRDefault="0006459D" w:rsidP="0006459D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Biological availability testing of some Egyptian marketed drug products. 1-Oral tetracycline dosage forms. L. Mortada, 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Zeinab A. </w:t>
            </w:r>
            <w:proofErr w:type="spellStart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ElGholmy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M.</w:t>
            </w:r>
            <w:proofErr w:type="gram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W.Gouda</w:t>
            </w:r>
            <w:proofErr w:type="spellEnd"/>
            <w:proofErr w:type="gram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,  N.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Khalafallah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and Said A. Khalil. Proc. XIV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Conf.Pharm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. Sci. Cairo Egypt (1975) p.107.</w:t>
            </w:r>
          </w:p>
          <w:p w:rsidR="0006459D" w:rsidRPr="00D26E18" w:rsidRDefault="0006459D" w:rsidP="0006459D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Solubilization of digoxin and digitoxin in aqueous solutions of bile salts. 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Zeinab A. </w:t>
            </w:r>
            <w:proofErr w:type="spellStart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ElGholmy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and Nabil M. Bakri. Proc. XIV   Conf. Pharm. Sci., Cairo, Egypt (1975) p. 119.</w:t>
            </w:r>
          </w:p>
          <w:p w:rsidR="0006459D" w:rsidRPr="00D26E18" w:rsidRDefault="0006459D" w:rsidP="0006459D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Concomitant administration of drugs. 1. Competitive binding of salicylates and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sulfameter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to human serum proteins.  N.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khalafallah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, 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Zeinab A. </w:t>
            </w:r>
            <w:proofErr w:type="spellStart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ElGholmy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, M.W. Gouda and Said A. Khalil.  Fourth Conf. of Pharmaceutical Arab Union, Egypt (1974).</w:t>
            </w:r>
          </w:p>
          <w:p w:rsidR="0006459D" w:rsidRPr="00D26E18" w:rsidRDefault="0006459D" w:rsidP="0006459D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Effect of some surfactants on the solubility and dissolution rate of clioquinol and di-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iodo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hydroxyquinoline.  Saleh A. H. Khalil and 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Zeinab A. </w:t>
            </w:r>
            <w:proofErr w:type="spellStart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ElGholmy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.  J. Pharm.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Pharmac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. 29,21 P (1977).</w:t>
            </w:r>
          </w:p>
          <w:p w:rsidR="0006459D" w:rsidRPr="00D26E18" w:rsidRDefault="0006459D" w:rsidP="0006459D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Effect of urea   and sodium chloride on the aqueous solubility of acetazolamide, hydrochlorothiazide and furosemide.    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Zeinab A. </w:t>
            </w:r>
            <w:proofErr w:type="spellStart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ElGholmy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.  J. Drug Res. Egypt, 11, 181 (1979).</w:t>
            </w:r>
          </w:p>
          <w:p w:rsidR="0006459D" w:rsidRPr="00D26E18" w:rsidRDefault="0006459D" w:rsidP="0006459D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Phase diagram and dissolution rate studies on hydrochlorothiazide-urea solid dispersion.  H.M. El </w:t>
            </w:r>
            <w:proofErr w:type="spellStart"/>
            <w:proofErr w:type="gram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Banna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,  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Zeinab</w:t>
            </w:r>
            <w:proofErr w:type="gramEnd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 A. </w:t>
            </w:r>
            <w:proofErr w:type="spellStart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ElGholmy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Y.Hammouda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.  Pharm. Acta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Helv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. 55, 244 (1980).</w:t>
            </w:r>
          </w:p>
          <w:p w:rsidR="0006459D" w:rsidRPr="00D26E18" w:rsidRDefault="0006459D" w:rsidP="0006459D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Bioavailability of different brands of griseofulvin tablets and its correlation to </w:t>
            </w:r>
            <w:proofErr w:type="gram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dissolution  data</w:t>
            </w:r>
            <w:proofErr w:type="gram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.  N.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khalafallah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, 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Zeinab A. </w:t>
            </w:r>
            <w:proofErr w:type="spellStart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ElGholmy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and Said A. Khalil.  Die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Pharmazie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35, 482 (1980)</w:t>
            </w:r>
          </w:p>
          <w:p w:rsidR="0006459D" w:rsidRPr="00D26E18" w:rsidRDefault="0006459D" w:rsidP="0006459D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Influence of high fat diet on G.I. absorption of griseofulvin tablets in man.  N.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khalafallah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, 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Zeinab A. </w:t>
            </w:r>
            <w:proofErr w:type="spellStart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ElGholmy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and Said A. Khalil.  Die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Pharmazie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, 36, 692 (1981).</w:t>
            </w:r>
          </w:p>
          <w:p w:rsidR="0006459D" w:rsidRPr="00D26E18" w:rsidRDefault="0006459D" w:rsidP="0006459D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Effect of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anatacids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on oral absorption of rifampicin. Saleh A. H. Khalil, </w:t>
            </w:r>
            <w:proofErr w:type="spellStart"/>
            <w:proofErr w:type="gram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Labiba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 K.</w:t>
            </w:r>
            <w:proofErr w:type="gram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El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Khordagui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and 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Zeinab A. </w:t>
            </w:r>
            <w:proofErr w:type="spellStart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ElGholmy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.  Int. J. Pharmaceutics, 20, 99 (1984).</w:t>
            </w:r>
          </w:p>
          <w:p w:rsidR="0006459D" w:rsidRPr="00D26E18" w:rsidRDefault="0006459D" w:rsidP="0006459D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Aminodiazine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: </w:t>
            </w:r>
            <w:proofErr w:type="gram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A  molecular</w:t>
            </w:r>
            <w:proofErr w:type="gram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compiound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of sulfadiazine and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ethylenediamine.Y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Hammouda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, 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Z. A. </w:t>
            </w:r>
            <w:proofErr w:type="spellStart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ElGholmy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, H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Abou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Shleib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and L.K. El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Khordagui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.  Drug Dev. And Ind. Pharm., 12, 875 (1988).</w:t>
            </w:r>
          </w:p>
          <w:p w:rsidR="0006459D" w:rsidRPr="00D26E18" w:rsidRDefault="0006459D" w:rsidP="0006459D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Optimization of Digoxin tablets.  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Zeinab A. El- Gholmy</w:t>
            </w: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, L.K. El-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khordagui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and Y.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hammouda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. Drug Dev. And Ind. Pharm., 14, 1587 (1988).</w:t>
            </w:r>
          </w:p>
          <w:p w:rsidR="00A67541" w:rsidRPr="00D26E18" w:rsidRDefault="00A67541" w:rsidP="00A67541">
            <w:pPr>
              <w:bidi w:val="0"/>
              <w:spacing w:before="120"/>
              <w:ind w:left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</w:p>
          <w:p w:rsidR="0006459D" w:rsidRPr="00D26E18" w:rsidRDefault="0006459D" w:rsidP="00A67541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lastRenderedPageBreak/>
              <w:t xml:space="preserve">The preparation of controlled release furosemide via microencapsulation 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Zeinab A. El </w:t>
            </w:r>
            <w:proofErr w:type="spellStart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Gholmy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, Nawal N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Salib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and Hisham H. Hagar. Presented at the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XXth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Conference of Pharmaceutical sciences (1988) p 31.</w:t>
            </w:r>
          </w:p>
          <w:p w:rsidR="0006459D" w:rsidRPr="00D26E18" w:rsidRDefault="0006459D" w:rsidP="0006459D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Controlled release indomethacin part I: Utilizing the hydrophilic polymer carboxymethyl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cellulose.Nawal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N.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Salib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, 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Zeinab </w:t>
            </w:r>
            <w:proofErr w:type="spellStart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ElGholmy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and Hisham H. Hagar. Alex. J. Pharm. Sci. vol.111(2) 137 (1989).</w:t>
            </w:r>
          </w:p>
          <w:p w:rsidR="0006459D" w:rsidRPr="00D26E18" w:rsidRDefault="0006459D" w:rsidP="0006459D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Controlled release indomethacin Part II: utilizing the hydrophobic polymer </w:t>
            </w:r>
            <w:proofErr w:type="spellStart"/>
            <w:proofErr w:type="gram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ethylcellulose.Nawal</w:t>
            </w:r>
            <w:proofErr w:type="spellEnd"/>
            <w:proofErr w:type="gram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N.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Salib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,  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Zeinab </w:t>
            </w:r>
            <w:proofErr w:type="spellStart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ElGholmy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and Hisham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H.S.Hagar.Alex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J.Pharm.Sci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. vol(111)(2)183(1989)</w:t>
            </w:r>
          </w:p>
          <w:p w:rsidR="0006459D" w:rsidRPr="00D26E18" w:rsidRDefault="0006459D" w:rsidP="0024522F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Optimization of furosemide tablets part 2 : Polymorphism of </w:t>
            </w:r>
            <w:r w:rsidR="0024522F"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furosemide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O.Y.Abdallah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,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Z.A.ElGHolmy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, M.A.EL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Massik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Y.Hammouda.Acta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Pharm.Tech.35,25-29(1989)</w:t>
            </w:r>
          </w:p>
          <w:p w:rsidR="0006459D" w:rsidRPr="00D26E18" w:rsidRDefault="0006459D" w:rsidP="00D3571E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Optimization of furosemide </w:t>
            </w:r>
            <w:proofErr w:type="spellStart"/>
            <w:proofErr w:type="gram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tablets,Part</w:t>
            </w:r>
            <w:proofErr w:type="spellEnd"/>
            <w:proofErr w:type="gram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3: Enhancement of dissolution rate of furosemide via solvent deposition on a soluble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carrier.Magda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A.EL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Massik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,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 Zeinab A.EL </w:t>
            </w:r>
            <w:proofErr w:type="spellStart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Gholmy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Ossama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Y.Abdallah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and Youssef </w:t>
            </w:r>
            <w:proofErr w:type="spellStart"/>
            <w:r w:rsidR="00D3571E"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H</w:t>
            </w: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ammouda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.</w:t>
            </w:r>
            <w:r w:rsidR="00D3571E"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Eur.J.Pharm.Biopharm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.,</w:t>
            </w:r>
            <w:r w:rsidR="00D3571E"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37,24-29(1991)</w:t>
            </w:r>
          </w:p>
          <w:p w:rsidR="0006459D" w:rsidRPr="00D26E18" w:rsidRDefault="0006459D" w:rsidP="0006459D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Polymorphism of GLICLAZIDE.  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Zeinab EL-</w:t>
            </w:r>
            <w:proofErr w:type="spellStart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Gholmy</w:t>
            </w: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.Presented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at the International Conference of Pharmaceutical Industries (I.C.P.I.)</w:t>
            </w:r>
            <w:r w:rsidR="00D3571E"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Alexandria ,Egypt (1990) p 21</w:t>
            </w:r>
          </w:p>
          <w:p w:rsidR="0006459D" w:rsidRPr="00D26E18" w:rsidRDefault="0006459D" w:rsidP="0006459D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Comparative evaluation of commercial brands of co-trimoxazole tablets with a new improved formulation.  M.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A.El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–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Massik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Z.A.El</w:t>
            </w:r>
            <w:proofErr w:type="spellEnd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Gholmy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O.Y.Abdallah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and Y.Hammouda.Eur.J.Pharm.Biopharm.,37,19-24(1991)</w:t>
            </w:r>
          </w:p>
          <w:p w:rsidR="00222198" w:rsidRPr="00D26E18" w:rsidRDefault="00222198" w:rsidP="00222198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A Novel Approach to the Preparation of 8% Aqueous Solution of Norfloxacin. Mohamed A. Ashraf, 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Zeinab A. El Gholmy</w:t>
            </w: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, Aly H. Nada, and Nawal M.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Khalafallah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. 2</w:t>
            </w: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vertAlign w:val="superscript"/>
                <w:lang w:eastAsia="en-US"/>
              </w:rPr>
              <w:t>nd</w:t>
            </w: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 Int. Conf. for Pharm. &amp; Tech. Sc., Alexandria (2000)</w:t>
            </w:r>
          </w:p>
          <w:p w:rsidR="00222198" w:rsidRPr="00D26E18" w:rsidRDefault="00222198" w:rsidP="00222198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A Novel Approach to the Preparation of 200mg Norfloxacin Suppositories. Mohamed A. Ashraf, Nawal M.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Khalafallah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,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Aly H. Nada, and</w:t>
            </w:r>
            <w:r w:rsid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 Zeinab A. 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El Gholmy</w:t>
            </w: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. 2</w:t>
            </w: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vertAlign w:val="superscript"/>
                <w:lang w:eastAsia="en-US"/>
              </w:rPr>
              <w:t>nd</w:t>
            </w: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 Int. Conf. for Pharm. &amp; Tech. Sc., Alexandria. (2000)</w:t>
            </w:r>
          </w:p>
          <w:p w:rsidR="0006459D" w:rsidRPr="00D26E18" w:rsidRDefault="0006459D" w:rsidP="0006459D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Effect of raw mate</w:t>
            </w:r>
            <w:r w:rsid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rials on the formulation of N</w:t>
            </w: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orfloxacin tablets. Aly H. Nada, Mohammed A. Ashraf, 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Zeinab</w:t>
            </w:r>
            <w:r w:rsidR="00C920EE"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A. </w:t>
            </w:r>
            <w:proofErr w:type="spellStart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ElGholmy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, Nawal M.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Khalafallah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. Pharmaceutical techno</w:t>
            </w:r>
            <w:r w:rsidR="00222198"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logy Europe, Volume 18 Number 2.</w:t>
            </w: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</w:t>
            </w:r>
            <w:r w:rsidR="00222198"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(</w:t>
            </w: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2006</w:t>
            </w:r>
            <w:r w:rsidR="00222198"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)</w:t>
            </w:r>
          </w:p>
          <w:p w:rsidR="00E347B1" w:rsidRPr="00D26E18" w:rsidRDefault="00E347B1" w:rsidP="00E347B1">
            <w:pPr>
              <w:numPr>
                <w:ilvl w:val="0"/>
                <w:numId w:val="5"/>
              </w:numPr>
              <w:bidi w:val="0"/>
              <w:spacing w:before="120"/>
              <w:ind w:left="714" w:hanging="357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Comparative Bioavailability of Norfloxacin Tablets Based on Blood and </w:t>
            </w:r>
            <w:r w:rsidR="00D26E18"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Urine</w:t>
            </w: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Data. Aly H. Nada, Mohamed A. Ashraf, </w:t>
            </w:r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 xml:space="preserve">Zeinab A. El </w:t>
            </w:r>
            <w:proofErr w:type="spellStart"/>
            <w:r w:rsidRPr="00D26E18">
              <w:rPr>
                <w:rFonts w:ascii="Arial" w:eastAsia="Times New Roman" w:hAnsi="Arial" w:cs="Traditional Arabic"/>
                <w:b/>
                <w:bCs/>
                <w:spacing w:val="-5"/>
                <w:sz w:val="20"/>
                <w:szCs w:val="20"/>
                <w:lang w:eastAsia="en-US"/>
              </w:rPr>
              <w:t>Gholmy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, Nawal M.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Khalafallah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. Med.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Princ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. </w:t>
            </w:r>
            <w:r w:rsidR="00346A0C"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&amp; </w:t>
            </w:r>
            <w:proofErr w:type="spellStart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Pra</w:t>
            </w:r>
            <w:r w:rsidR="00346A0C"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c</w:t>
            </w: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t</w:t>
            </w:r>
            <w:proofErr w:type="spellEnd"/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., 16 (6), pp. 426-431</w:t>
            </w:r>
            <w:r w:rsidR="00222198"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>.</w:t>
            </w:r>
            <w:r w:rsidRPr="00D26E18"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  <w:t xml:space="preserve"> (2007)</w:t>
            </w:r>
          </w:p>
          <w:p w:rsidR="0006459D" w:rsidRPr="00D26E18" w:rsidRDefault="0006459D" w:rsidP="00346A0C">
            <w:pPr>
              <w:bidi w:val="0"/>
              <w:spacing w:before="120"/>
              <w:ind w:left="714"/>
              <w:rPr>
                <w:rFonts w:ascii="Arial" w:eastAsia="Times New Roman" w:hAnsi="Arial" w:cs="Traditional Arabic"/>
                <w:spacing w:val="-5"/>
                <w:sz w:val="20"/>
                <w:szCs w:val="20"/>
                <w:lang w:eastAsia="en-US"/>
              </w:rPr>
            </w:pPr>
          </w:p>
        </w:tc>
      </w:tr>
    </w:tbl>
    <w:p w:rsidR="0075363F" w:rsidRPr="00D26E18" w:rsidRDefault="0075363F" w:rsidP="0075363F">
      <w:pPr>
        <w:bidi w:val="0"/>
        <w:rPr>
          <w:rFonts w:ascii="Verdana" w:hAnsi="Verdana"/>
          <w:lang w:bidi="ar-EG"/>
        </w:rPr>
      </w:pPr>
    </w:p>
    <w:sectPr w:rsidR="0075363F" w:rsidRPr="00D26E18" w:rsidSect="001749DC">
      <w:pgSz w:w="12240" w:h="15840"/>
      <w:pgMar w:top="1418" w:right="1418" w:bottom="1418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AB0"/>
    <w:multiLevelType w:val="hybridMultilevel"/>
    <w:tmpl w:val="7E90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1627"/>
    <w:multiLevelType w:val="hybridMultilevel"/>
    <w:tmpl w:val="F3E680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D377F"/>
    <w:multiLevelType w:val="hybridMultilevel"/>
    <w:tmpl w:val="82D6B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F4C83"/>
    <w:multiLevelType w:val="hybridMultilevel"/>
    <w:tmpl w:val="4DA04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32286"/>
    <w:multiLevelType w:val="hybridMultilevel"/>
    <w:tmpl w:val="4594BA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63"/>
    <w:rsid w:val="0006459D"/>
    <w:rsid w:val="00110430"/>
    <w:rsid w:val="001749DC"/>
    <w:rsid w:val="00185397"/>
    <w:rsid w:val="001858CB"/>
    <w:rsid w:val="00197B72"/>
    <w:rsid w:val="001C6718"/>
    <w:rsid w:val="001F793F"/>
    <w:rsid w:val="00222198"/>
    <w:rsid w:val="00241CCB"/>
    <w:rsid w:val="0024522F"/>
    <w:rsid w:val="00264EA6"/>
    <w:rsid w:val="002759CE"/>
    <w:rsid w:val="00346A0C"/>
    <w:rsid w:val="005816CA"/>
    <w:rsid w:val="00583A74"/>
    <w:rsid w:val="00695EAB"/>
    <w:rsid w:val="006F7A4D"/>
    <w:rsid w:val="007400A9"/>
    <w:rsid w:val="0075363F"/>
    <w:rsid w:val="0077342B"/>
    <w:rsid w:val="00781613"/>
    <w:rsid w:val="00802C48"/>
    <w:rsid w:val="008234A4"/>
    <w:rsid w:val="00835F3B"/>
    <w:rsid w:val="00876611"/>
    <w:rsid w:val="008D58B8"/>
    <w:rsid w:val="008F322B"/>
    <w:rsid w:val="00931210"/>
    <w:rsid w:val="009479AB"/>
    <w:rsid w:val="009F4D14"/>
    <w:rsid w:val="00A67541"/>
    <w:rsid w:val="00B67518"/>
    <w:rsid w:val="00BB1763"/>
    <w:rsid w:val="00BD1231"/>
    <w:rsid w:val="00C51736"/>
    <w:rsid w:val="00C920EE"/>
    <w:rsid w:val="00D113CB"/>
    <w:rsid w:val="00D26E18"/>
    <w:rsid w:val="00D3571E"/>
    <w:rsid w:val="00DF3F43"/>
    <w:rsid w:val="00E347B1"/>
    <w:rsid w:val="00E53665"/>
    <w:rsid w:val="00EB251E"/>
    <w:rsid w:val="00EF06FD"/>
    <w:rsid w:val="00FB4B46"/>
    <w:rsid w:val="00FC3FB4"/>
    <w:rsid w:val="00FD1B97"/>
    <w:rsid w:val="00FD44D7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CE5CDD1-0F55-44A8-B1FF-A6D34C67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8CB"/>
    <w:pPr>
      <w:bidi/>
    </w:pPr>
    <w:rPr>
      <w:rFonts w:ascii="Comic Sans MS" w:eastAsia="Batang" w:hAnsi="Comic Sans MS"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1858CB"/>
    <w:pPr>
      <w:bidi w:val="0"/>
      <w:spacing w:before="20" w:after="0" w:line="220" w:lineRule="atLeast"/>
      <w:jc w:val="lowKashida"/>
    </w:pPr>
    <w:rPr>
      <w:rFonts w:ascii="Arial" w:eastAsia="Times New Roman" w:hAnsi="Arial" w:cs="Traditional Arabic"/>
      <w:noProof/>
      <w:spacing w:val="-5"/>
      <w:sz w:val="20"/>
      <w:szCs w:val="20"/>
      <w:lang w:eastAsia="ar-SA"/>
    </w:rPr>
  </w:style>
  <w:style w:type="paragraph" w:customStyle="1" w:styleId="Address2">
    <w:name w:val="Address 2"/>
    <w:basedOn w:val="Normal"/>
    <w:rsid w:val="001858CB"/>
    <w:pPr>
      <w:framePr w:w="2030" w:wrap="notBeside" w:vAnchor="page" w:hAnchor="page" w:x="6121" w:y="1153"/>
      <w:bidi w:val="0"/>
      <w:spacing w:line="160" w:lineRule="atLeast"/>
      <w:jc w:val="lowKashida"/>
    </w:pPr>
    <w:rPr>
      <w:rFonts w:ascii="Arial" w:eastAsia="Times New Roman" w:hAnsi="Arial" w:cs="Traditional Arabic"/>
      <w:noProof/>
      <w:sz w:val="14"/>
      <w:szCs w:val="16"/>
      <w:lang w:eastAsia="ar-SA"/>
    </w:rPr>
  </w:style>
  <w:style w:type="paragraph" w:customStyle="1" w:styleId="Name">
    <w:name w:val="Name"/>
    <w:basedOn w:val="Normal"/>
    <w:next w:val="Normal"/>
    <w:rsid w:val="001858CB"/>
    <w:pPr>
      <w:pBdr>
        <w:bottom w:val="single" w:sz="6" w:space="4" w:color="auto"/>
      </w:pBdr>
      <w:bidi w:val="0"/>
      <w:spacing w:after="440" w:line="240" w:lineRule="atLeast"/>
    </w:pPr>
    <w:rPr>
      <w:rFonts w:ascii="Arial Black" w:eastAsia="Times New Roman" w:hAnsi="Arial Black" w:cs="Traditional Arabic"/>
      <w:noProof/>
      <w:spacing w:val="-35"/>
      <w:sz w:val="54"/>
      <w:szCs w:val="64"/>
      <w:lang w:eastAsia="ar-SA"/>
    </w:rPr>
  </w:style>
  <w:style w:type="paragraph" w:customStyle="1" w:styleId="SectionTitle">
    <w:name w:val="Section Title"/>
    <w:basedOn w:val="Normal"/>
    <w:next w:val="Normal"/>
    <w:autoRedefine/>
    <w:rsid w:val="001749DC"/>
    <w:pPr>
      <w:framePr w:hSpace="180" w:wrap="around" w:vAnchor="page" w:hAnchor="margin" w:y="1855"/>
      <w:bidi w:val="0"/>
      <w:spacing w:before="20" w:line="220" w:lineRule="atLeast"/>
    </w:pPr>
    <w:rPr>
      <w:rFonts w:ascii="Arial Black" w:eastAsia="Times New Roman" w:hAnsi="Arial Black" w:cs="Traditional Arabic"/>
      <w:sz w:val="20"/>
      <w:szCs w:val="20"/>
      <w:lang w:eastAsia="en-US" w:bidi="ar-EG"/>
    </w:rPr>
  </w:style>
  <w:style w:type="character" w:styleId="Hyperlink">
    <w:name w:val="Hyperlink"/>
    <w:basedOn w:val="DefaultParagraphFont"/>
    <w:rsid w:val="001858CB"/>
    <w:rPr>
      <w:color w:val="0000FF"/>
      <w:u w:val="single"/>
    </w:rPr>
  </w:style>
  <w:style w:type="paragraph" w:styleId="BodyText">
    <w:name w:val="Body Text"/>
    <w:basedOn w:val="Normal"/>
    <w:rsid w:val="001858CB"/>
    <w:pPr>
      <w:spacing w:after="120"/>
    </w:pPr>
  </w:style>
  <w:style w:type="table" w:styleId="TableGrid">
    <w:name w:val="Table Grid"/>
    <w:basedOn w:val="TableNormal"/>
    <w:rsid w:val="00835F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inabelgholm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Mailing Address: Ghada Hammouda, c/o Dr</vt:lpstr>
    </vt:vector>
  </TitlesOfParts>
  <Company>Hewlett-Packard Company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Mailing Address: Ghada Hammouda, c/o Dr</dc:title>
  <dc:creator>ghada hammouda</dc:creator>
  <cp:lastModifiedBy>phar pharmaceutics</cp:lastModifiedBy>
  <cp:revision>2</cp:revision>
  <cp:lastPrinted>2015-03-13T13:11:00Z</cp:lastPrinted>
  <dcterms:created xsi:type="dcterms:W3CDTF">2020-11-11T17:19:00Z</dcterms:created>
  <dcterms:modified xsi:type="dcterms:W3CDTF">2020-11-11T17:19:00Z</dcterms:modified>
</cp:coreProperties>
</file>